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C3" w:rsidRDefault="00EB3EC3">
      <w:pPr>
        <w:ind w:firstLineChars="800" w:firstLine="256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中南大学201</w:t>
      </w:r>
      <w:r w:rsidR="00843550">
        <w:rPr>
          <w:rFonts w:ascii="黑体" w:eastAsia="黑体" w:hint="eastAsia"/>
          <w:sz w:val="32"/>
          <w:szCs w:val="32"/>
        </w:rPr>
        <w:t>7</w:t>
      </w:r>
      <w:r>
        <w:rPr>
          <w:rFonts w:ascii="黑体" w:eastAsia="黑体" w:hint="eastAsia"/>
          <w:sz w:val="32"/>
          <w:szCs w:val="32"/>
        </w:rPr>
        <w:t>级研究生学费标准</w:t>
      </w:r>
    </w:p>
    <w:p w:rsidR="00EB3EC3" w:rsidRDefault="00EB3EC3">
      <w:pPr>
        <w:ind w:firstLineChars="650" w:firstLine="208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60"/>
        <w:gridCol w:w="2870"/>
      </w:tblGrid>
      <w:tr w:rsidR="00EB3EC3" w:rsidTr="006122C0">
        <w:trPr>
          <w:trHeight w:val="315"/>
          <w:jc w:val="center"/>
        </w:trPr>
        <w:tc>
          <w:tcPr>
            <w:tcW w:w="5260" w:type="dxa"/>
          </w:tcPr>
          <w:p w:rsidR="00EB3EC3" w:rsidRDefault="00EB3EC3">
            <w:pPr>
              <w:ind w:firstLineChars="350" w:firstLine="770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学生类别</w:t>
            </w:r>
          </w:p>
        </w:tc>
        <w:tc>
          <w:tcPr>
            <w:tcW w:w="2870" w:type="dxa"/>
          </w:tcPr>
          <w:p w:rsidR="00EB3EC3" w:rsidRDefault="00EB3EC3">
            <w:pPr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收费标准（元/生.年）</w:t>
            </w:r>
          </w:p>
        </w:tc>
      </w:tr>
      <w:tr w:rsidR="00EB3EC3" w:rsidTr="006122C0">
        <w:trPr>
          <w:trHeight w:val="330"/>
          <w:jc w:val="center"/>
        </w:trPr>
        <w:tc>
          <w:tcPr>
            <w:tcW w:w="5260" w:type="dxa"/>
            <w:vAlign w:val="center"/>
          </w:tcPr>
          <w:p w:rsidR="00EB3EC3" w:rsidRDefault="00EB3EC3">
            <w:pPr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一、全日制学术型博士研究生</w:t>
            </w:r>
          </w:p>
        </w:tc>
        <w:tc>
          <w:tcPr>
            <w:tcW w:w="2870" w:type="dxa"/>
            <w:vAlign w:val="bottom"/>
          </w:tcPr>
          <w:p w:rsidR="00EB3EC3" w:rsidRDefault="00EB3EC3">
            <w:pPr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 xml:space="preserve">10000                                            </w:t>
            </w:r>
          </w:p>
        </w:tc>
      </w:tr>
      <w:tr w:rsidR="00EB3EC3" w:rsidTr="006122C0">
        <w:trPr>
          <w:trHeight w:val="315"/>
          <w:jc w:val="center"/>
        </w:trPr>
        <w:tc>
          <w:tcPr>
            <w:tcW w:w="5260" w:type="dxa"/>
            <w:vAlign w:val="center"/>
          </w:tcPr>
          <w:p w:rsidR="00EB3EC3" w:rsidRDefault="00EB3EC3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二、专业型博士研究生</w:t>
            </w:r>
          </w:p>
        </w:tc>
        <w:tc>
          <w:tcPr>
            <w:tcW w:w="2870" w:type="dxa"/>
            <w:vAlign w:val="bottom"/>
          </w:tcPr>
          <w:p w:rsidR="00EB3EC3" w:rsidRDefault="00EB3EC3"/>
        </w:tc>
      </w:tr>
      <w:tr w:rsidR="00EB3EC3" w:rsidTr="006122C0">
        <w:trPr>
          <w:trHeight w:val="330"/>
          <w:jc w:val="center"/>
        </w:trPr>
        <w:tc>
          <w:tcPr>
            <w:tcW w:w="5260" w:type="dxa"/>
            <w:vAlign w:val="center"/>
          </w:tcPr>
          <w:p w:rsidR="00EB3EC3" w:rsidRDefault="00EB3EC3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1.医学专业</w:t>
            </w:r>
          </w:p>
        </w:tc>
        <w:tc>
          <w:tcPr>
            <w:tcW w:w="2870" w:type="dxa"/>
            <w:vAlign w:val="bottom"/>
          </w:tcPr>
          <w:p w:rsidR="00EB3EC3" w:rsidRDefault="00EB3EC3">
            <w:r>
              <w:rPr>
                <w:rFonts w:hint="eastAsia"/>
              </w:rPr>
              <w:t xml:space="preserve">15000                               </w:t>
            </w:r>
          </w:p>
        </w:tc>
      </w:tr>
      <w:tr w:rsidR="00EB3EC3" w:rsidTr="006122C0">
        <w:trPr>
          <w:trHeight w:val="330"/>
          <w:jc w:val="center"/>
        </w:trPr>
        <w:tc>
          <w:tcPr>
            <w:tcW w:w="5260" w:type="dxa"/>
            <w:vAlign w:val="center"/>
          </w:tcPr>
          <w:p w:rsidR="00EB3EC3" w:rsidRDefault="00EB3EC3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2.其他专业</w:t>
            </w:r>
          </w:p>
        </w:tc>
        <w:tc>
          <w:tcPr>
            <w:tcW w:w="2870" w:type="dxa"/>
            <w:vAlign w:val="bottom"/>
          </w:tcPr>
          <w:p w:rsidR="00EB3EC3" w:rsidRDefault="00EB3EC3">
            <w:r>
              <w:rPr>
                <w:rFonts w:hint="eastAsia"/>
              </w:rPr>
              <w:t>14000</w:t>
            </w:r>
          </w:p>
        </w:tc>
      </w:tr>
      <w:tr w:rsidR="00EB3EC3" w:rsidTr="006122C0">
        <w:trPr>
          <w:trHeight w:val="315"/>
          <w:jc w:val="center"/>
        </w:trPr>
        <w:tc>
          <w:tcPr>
            <w:tcW w:w="5260" w:type="dxa"/>
            <w:vAlign w:val="center"/>
          </w:tcPr>
          <w:p w:rsidR="00EB3EC3" w:rsidRDefault="00EB3EC3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三、全日制学术型硕士研究生</w:t>
            </w:r>
          </w:p>
        </w:tc>
        <w:tc>
          <w:tcPr>
            <w:tcW w:w="2870" w:type="dxa"/>
            <w:vAlign w:val="bottom"/>
          </w:tcPr>
          <w:p w:rsidR="00EB3EC3" w:rsidRDefault="00EB3EC3">
            <w:r>
              <w:rPr>
                <w:rFonts w:hint="eastAsia"/>
              </w:rPr>
              <w:t>8000</w:t>
            </w:r>
          </w:p>
        </w:tc>
      </w:tr>
      <w:tr w:rsidR="00D67F5D" w:rsidTr="006122C0">
        <w:trPr>
          <w:trHeight w:val="645"/>
          <w:jc w:val="center"/>
        </w:trPr>
        <w:tc>
          <w:tcPr>
            <w:tcW w:w="5260" w:type="dxa"/>
            <w:vAlign w:val="center"/>
          </w:tcPr>
          <w:p w:rsidR="00D67F5D" w:rsidRDefault="00D67F5D" w:rsidP="00D67F5D">
            <w:pPr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四、非全日制学术型硕士研究生</w:t>
            </w:r>
          </w:p>
        </w:tc>
        <w:tc>
          <w:tcPr>
            <w:tcW w:w="2870" w:type="dxa"/>
            <w:vAlign w:val="center"/>
          </w:tcPr>
          <w:p w:rsidR="00D67F5D" w:rsidRPr="00D67F5D" w:rsidRDefault="00D67F5D" w:rsidP="00A301C2">
            <w:pPr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按专业学位硕士研究生专业类别标准执行</w:t>
            </w:r>
          </w:p>
        </w:tc>
      </w:tr>
      <w:tr w:rsidR="00D67F5D" w:rsidTr="006122C0">
        <w:trPr>
          <w:trHeight w:val="645"/>
          <w:jc w:val="center"/>
        </w:trPr>
        <w:tc>
          <w:tcPr>
            <w:tcW w:w="5260" w:type="dxa"/>
            <w:vAlign w:val="center"/>
          </w:tcPr>
          <w:p w:rsidR="00D67F5D" w:rsidRDefault="00D67F5D" w:rsidP="00D67F5D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五、专业学位硕士研究生（按专业代码对应，包括全日制和非全日制）</w:t>
            </w:r>
          </w:p>
        </w:tc>
        <w:tc>
          <w:tcPr>
            <w:tcW w:w="2870" w:type="dxa"/>
            <w:vAlign w:val="bottom"/>
          </w:tcPr>
          <w:p w:rsidR="00D67F5D" w:rsidRDefault="00D67F5D"/>
        </w:tc>
      </w:tr>
      <w:tr w:rsidR="004210E7" w:rsidTr="006122C0">
        <w:trPr>
          <w:trHeight w:val="330"/>
          <w:jc w:val="center"/>
        </w:trPr>
        <w:tc>
          <w:tcPr>
            <w:tcW w:w="5260" w:type="dxa"/>
            <w:vAlign w:val="center"/>
          </w:tcPr>
          <w:p w:rsidR="004210E7" w:rsidRDefault="004210E7" w:rsidP="004210E7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1.哲学类（01）</w:t>
            </w:r>
          </w:p>
        </w:tc>
        <w:tc>
          <w:tcPr>
            <w:tcW w:w="2870" w:type="dxa"/>
            <w:vAlign w:val="center"/>
          </w:tcPr>
          <w:p w:rsidR="004210E7" w:rsidRDefault="004210E7" w:rsidP="003644CA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8000</w:t>
            </w:r>
          </w:p>
        </w:tc>
      </w:tr>
      <w:tr w:rsidR="00D67F5D" w:rsidTr="006122C0">
        <w:trPr>
          <w:trHeight w:val="330"/>
          <w:jc w:val="center"/>
        </w:trPr>
        <w:tc>
          <w:tcPr>
            <w:tcW w:w="5260" w:type="dxa"/>
            <w:vAlign w:val="center"/>
          </w:tcPr>
          <w:p w:rsidR="00D67F5D" w:rsidRDefault="004210E7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2</w:t>
            </w:r>
            <w:r w:rsidR="00D67F5D">
              <w:rPr>
                <w:rFonts w:ascii="黑体" w:eastAsia="黑体" w:hint="eastAsia"/>
                <w:sz w:val="22"/>
              </w:rPr>
              <w:t>.经济学类（02）</w:t>
            </w:r>
          </w:p>
        </w:tc>
        <w:tc>
          <w:tcPr>
            <w:tcW w:w="2870" w:type="dxa"/>
            <w:vAlign w:val="center"/>
          </w:tcPr>
          <w:p w:rsidR="00D67F5D" w:rsidRDefault="00D67F5D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14000</w:t>
            </w:r>
          </w:p>
        </w:tc>
      </w:tr>
      <w:tr w:rsidR="00D67F5D" w:rsidTr="006122C0">
        <w:trPr>
          <w:trHeight w:val="315"/>
          <w:jc w:val="center"/>
        </w:trPr>
        <w:tc>
          <w:tcPr>
            <w:tcW w:w="5260" w:type="dxa"/>
            <w:vAlign w:val="center"/>
          </w:tcPr>
          <w:p w:rsidR="00D67F5D" w:rsidRDefault="004210E7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3</w:t>
            </w:r>
            <w:r w:rsidR="00D67F5D">
              <w:rPr>
                <w:rFonts w:ascii="黑体" w:eastAsia="黑体" w:hint="eastAsia"/>
                <w:sz w:val="22"/>
              </w:rPr>
              <w:t>.法学类（03）</w:t>
            </w:r>
          </w:p>
        </w:tc>
        <w:tc>
          <w:tcPr>
            <w:tcW w:w="2870" w:type="dxa"/>
            <w:vAlign w:val="center"/>
          </w:tcPr>
          <w:p w:rsidR="00D67F5D" w:rsidRDefault="00D67F5D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10000</w:t>
            </w:r>
          </w:p>
        </w:tc>
      </w:tr>
      <w:tr w:rsidR="00D67F5D" w:rsidTr="006122C0">
        <w:trPr>
          <w:trHeight w:val="330"/>
          <w:jc w:val="center"/>
        </w:trPr>
        <w:tc>
          <w:tcPr>
            <w:tcW w:w="5260" w:type="dxa"/>
            <w:vAlign w:val="center"/>
          </w:tcPr>
          <w:p w:rsidR="00D67F5D" w:rsidRDefault="004210E7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4</w:t>
            </w:r>
            <w:r w:rsidR="00D67F5D">
              <w:rPr>
                <w:rFonts w:ascii="黑体" w:eastAsia="黑体" w:hint="eastAsia"/>
                <w:sz w:val="22"/>
              </w:rPr>
              <w:t>.教育类（04）</w:t>
            </w:r>
          </w:p>
        </w:tc>
        <w:tc>
          <w:tcPr>
            <w:tcW w:w="2870" w:type="dxa"/>
            <w:vAlign w:val="center"/>
          </w:tcPr>
          <w:p w:rsidR="00D67F5D" w:rsidRDefault="00D67F5D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 xml:space="preserve">10000                                                      </w:t>
            </w:r>
          </w:p>
        </w:tc>
      </w:tr>
      <w:tr w:rsidR="004210E7" w:rsidTr="006122C0">
        <w:trPr>
          <w:trHeight w:val="330"/>
          <w:jc w:val="center"/>
        </w:trPr>
        <w:tc>
          <w:tcPr>
            <w:tcW w:w="5260" w:type="dxa"/>
            <w:vAlign w:val="center"/>
          </w:tcPr>
          <w:p w:rsidR="004210E7" w:rsidRDefault="004210E7" w:rsidP="006458EA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5.理学类（0</w:t>
            </w:r>
            <w:r w:rsidR="006458EA">
              <w:rPr>
                <w:rFonts w:ascii="黑体" w:eastAsia="黑体" w:hint="eastAsia"/>
                <w:sz w:val="22"/>
              </w:rPr>
              <w:t>7</w:t>
            </w:r>
            <w:r>
              <w:rPr>
                <w:rFonts w:ascii="黑体" w:eastAsia="黑体" w:hint="eastAsia"/>
                <w:sz w:val="22"/>
              </w:rPr>
              <w:t>）</w:t>
            </w:r>
          </w:p>
        </w:tc>
        <w:tc>
          <w:tcPr>
            <w:tcW w:w="2870" w:type="dxa"/>
            <w:vAlign w:val="center"/>
          </w:tcPr>
          <w:p w:rsidR="004210E7" w:rsidRDefault="004210E7" w:rsidP="003644CA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8000</w:t>
            </w:r>
          </w:p>
        </w:tc>
      </w:tr>
      <w:tr w:rsidR="00D67F5D" w:rsidTr="006122C0">
        <w:trPr>
          <w:trHeight w:val="330"/>
          <w:jc w:val="center"/>
        </w:trPr>
        <w:tc>
          <w:tcPr>
            <w:tcW w:w="5260" w:type="dxa"/>
            <w:vAlign w:val="center"/>
          </w:tcPr>
          <w:p w:rsidR="00D67F5D" w:rsidRDefault="004210E7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6</w:t>
            </w:r>
            <w:r w:rsidR="00D67F5D">
              <w:rPr>
                <w:rFonts w:ascii="黑体" w:eastAsia="黑体" w:hint="eastAsia"/>
                <w:sz w:val="22"/>
              </w:rPr>
              <w:t>.文学类（05）</w:t>
            </w:r>
          </w:p>
        </w:tc>
        <w:tc>
          <w:tcPr>
            <w:tcW w:w="2870" w:type="dxa"/>
            <w:vAlign w:val="center"/>
          </w:tcPr>
          <w:p w:rsidR="00D67F5D" w:rsidRDefault="00D67F5D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13000</w:t>
            </w:r>
          </w:p>
        </w:tc>
      </w:tr>
      <w:tr w:rsidR="00D67F5D" w:rsidTr="006122C0">
        <w:trPr>
          <w:trHeight w:val="315"/>
          <w:jc w:val="center"/>
        </w:trPr>
        <w:tc>
          <w:tcPr>
            <w:tcW w:w="5260" w:type="dxa"/>
            <w:vAlign w:val="bottom"/>
          </w:tcPr>
          <w:p w:rsidR="00D67F5D" w:rsidRDefault="004210E7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7</w:t>
            </w:r>
            <w:r w:rsidR="00D67F5D">
              <w:rPr>
                <w:rFonts w:ascii="黑体" w:eastAsia="黑体" w:hint="eastAsia"/>
                <w:sz w:val="22"/>
              </w:rPr>
              <w:t>.工学类（08）</w:t>
            </w:r>
          </w:p>
        </w:tc>
        <w:tc>
          <w:tcPr>
            <w:tcW w:w="2870" w:type="dxa"/>
            <w:vAlign w:val="center"/>
          </w:tcPr>
          <w:p w:rsidR="00D67F5D" w:rsidRDefault="00D67F5D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12000</w:t>
            </w:r>
            <w:r>
              <w:rPr>
                <w:rFonts w:ascii="黑体" w:eastAsia="黑体" w:hAnsi="宋体" w:cs="宋体"/>
                <w:sz w:val="22"/>
              </w:rPr>
              <w:t xml:space="preserve"> </w:t>
            </w:r>
          </w:p>
        </w:tc>
      </w:tr>
      <w:tr w:rsidR="00D67F5D" w:rsidTr="006122C0">
        <w:trPr>
          <w:trHeight w:val="315"/>
          <w:jc w:val="center"/>
        </w:trPr>
        <w:tc>
          <w:tcPr>
            <w:tcW w:w="5260" w:type="dxa"/>
            <w:vAlign w:val="bottom"/>
          </w:tcPr>
          <w:p w:rsidR="00D67F5D" w:rsidRDefault="004210E7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8</w:t>
            </w:r>
            <w:r w:rsidR="00D67F5D">
              <w:rPr>
                <w:rFonts w:ascii="黑体" w:eastAsia="黑体" w:hint="eastAsia"/>
                <w:sz w:val="22"/>
              </w:rPr>
              <w:t>.医学类（10）</w:t>
            </w:r>
          </w:p>
        </w:tc>
        <w:tc>
          <w:tcPr>
            <w:tcW w:w="2870" w:type="dxa"/>
            <w:vAlign w:val="center"/>
          </w:tcPr>
          <w:p w:rsidR="00D67F5D" w:rsidRDefault="00D67F5D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10000</w:t>
            </w:r>
            <w:r>
              <w:rPr>
                <w:rFonts w:ascii="黑体" w:eastAsia="黑体" w:hAnsi="宋体" w:cs="宋体"/>
                <w:sz w:val="22"/>
              </w:rPr>
              <w:t xml:space="preserve"> </w:t>
            </w:r>
          </w:p>
        </w:tc>
      </w:tr>
      <w:tr w:rsidR="00D67F5D" w:rsidTr="006122C0">
        <w:trPr>
          <w:trHeight w:val="330"/>
          <w:jc w:val="center"/>
        </w:trPr>
        <w:tc>
          <w:tcPr>
            <w:tcW w:w="5260" w:type="dxa"/>
            <w:vAlign w:val="bottom"/>
          </w:tcPr>
          <w:p w:rsidR="00D67F5D" w:rsidRDefault="004210E7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9</w:t>
            </w:r>
            <w:r w:rsidR="00D67F5D">
              <w:rPr>
                <w:rFonts w:ascii="黑体" w:eastAsia="黑体" w:hint="eastAsia"/>
                <w:sz w:val="22"/>
              </w:rPr>
              <w:t>.管理学类（12）（不含MBA）</w:t>
            </w:r>
          </w:p>
        </w:tc>
        <w:tc>
          <w:tcPr>
            <w:tcW w:w="2870" w:type="dxa"/>
            <w:vAlign w:val="center"/>
          </w:tcPr>
          <w:p w:rsidR="00D67F5D" w:rsidRDefault="00D67F5D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14000</w:t>
            </w:r>
            <w:r>
              <w:rPr>
                <w:rFonts w:ascii="黑体" w:eastAsia="黑体" w:hAnsi="宋体" w:cs="宋体"/>
                <w:sz w:val="22"/>
              </w:rPr>
              <w:t xml:space="preserve"> </w:t>
            </w:r>
          </w:p>
        </w:tc>
      </w:tr>
      <w:tr w:rsidR="00D67F5D" w:rsidTr="006122C0">
        <w:trPr>
          <w:trHeight w:val="315"/>
          <w:jc w:val="center"/>
        </w:trPr>
        <w:tc>
          <w:tcPr>
            <w:tcW w:w="5260" w:type="dxa"/>
            <w:vAlign w:val="bottom"/>
          </w:tcPr>
          <w:p w:rsidR="00D67F5D" w:rsidRDefault="004210E7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10</w:t>
            </w:r>
            <w:r w:rsidR="00D67F5D">
              <w:rPr>
                <w:rFonts w:ascii="黑体" w:eastAsia="黑体" w:hint="eastAsia"/>
                <w:sz w:val="22"/>
              </w:rPr>
              <w:t>.艺术学类（13）</w:t>
            </w:r>
          </w:p>
        </w:tc>
        <w:tc>
          <w:tcPr>
            <w:tcW w:w="2870" w:type="dxa"/>
            <w:vAlign w:val="center"/>
          </w:tcPr>
          <w:p w:rsidR="00D67F5D" w:rsidRDefault="00D67F5D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9000</w:t>
            </w:r>
            <w:r>
              <w:rPr>
                <w:rFonts w:ascii="黑体" w:eastAsia="黑体" w:hAnsi="宋体" w:cs="宋体"/>
                <w:sz w:val="22"/>
              </w:rPr>
              <w:t xml:space="preserve"> </w:t>
            </w:r>
          </w:p>
        </w:tc>
      </w:tr>
      <w:tr w:rsidR="00D67F5D" w:rsidTr="006122C0">
        <w:trPr>
          <w:trHeight w:val="330"/>
          <w:jc w:val="center"/>
        </w:trPr>
        <w:tc>
          <w:tcPr>
            <w:tcW w:w="5260" w:type="dxa"/>
            <w:vAlign w:val="bottom"/>
          </w:tcPr>
          <w:p w:rsidR="00D67F5D" w:rsidRDefault="004210E7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11</w:t>
            </w:r>
            <w:r w:rsidR="00D67F5D">
              <w:rPr>
                <w:rFonts w:ascii="黑体" w:eastAsia="黑体" w:hint="eastAsia"/>
                <w:sz w:val="22"/>
              </w:rPr>
              <w:t>.工商管理硕士（MBA)</w:t>
            </w:r>
            <w:r w:rsidR="002C029A">
              <w:rPr>
                <w:rFonts w:ascii="黑体" w:eastAsia="黑体" w:hint="eastAsia"/>
                <w:sz w:val="22"/>
              </w:rPr>
              <w:t>（不含深圳研究院）</w:t>
            </w:r>
          </w:p>
        </w:tc>
        <w:tc>
          <w:tcPr>
            <w:tcW w:w="2870" w:type="dxa"/>
            <w:vAlign w:val="center"/>
          </w:tcPr>
          <w:p w:rsidR="00D67F5D" w:rsidRDefault="00D67F5D">
            <w:pPr>
              <w:rPr>
                <w:rFonts w:ascii="黑体" w:eastAsia="黑体" w:hAnsi="宋体" w:cs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20000</w:t>
            </w:r>
            <w:r>
              <w:rPr>
                <w:rFonts w:ascii="黑体" w:eastAsia="黑体" w:hAnsi="宋体" w:cs="宋体"/>
                <w:sz w:val="22"/>
              </w:rPr>
              <w:t xml:space="preserve"> </w:t>
            </w:r>
          </w:p>
        </w:tc>
      </w:tr>
      <w:tr w:rsidR="002C029A" w:rsidTr="006122C0">
        <w:trPr>
          <w:trHeight w:val="330"/>
          <w:jc w:val="center"/>
        </w:trPr>
        <w:tc>
          <w:tcPr>
            <w:tcW w:w="5260" w:type="dxa"/>
            <w:vAlign w:val="bottom"/>
          </w:tcPr>
          <w:p w:rsidR="002C029A" w:rsidRDefault="002C029A" w:rsidP="004210E7">
            <w:pPr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1</w:t>
            </w:r>
            <w:r w:rsidR="004210E7">
              <w:rPr>
                <w:rFonts w:ascii="黑体" w:eastAsia="黑体" w:hint="eastAsia"/>
                <w:sz w:val="22"/>
              </w:rPr>
              <w:t>2</w:t>
            </w:r>
            <w:r>
              <w:rPr>
                <w:rFonts w:ascii="黑体" w:eastAsia="黑体" w:hint="eastAsia"/>
                <w:sz w:val="22"/>
              </w:rPr>
              <w:t>. 工商管理硕士（MBA)（深圳研究院）</w:t>
            </w:r>
          </w:p>
        </w:tc>
        <w:tc>
          <w:tcPr>
            <w:tcW w:w="2870" w:type="dxa"/>
            <w:vAlign w:val="center"/>
          </w:tcPr>
          <w:p w:rsidR="002C029A" w:rsidRDefault="002C029A">
            <w:pPr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30000</w:t>
            </w:r>
          </w:p>
        </w:tc>
      </w:tr>
      <w:tr w:rsidR="00D67F5D" w:rsidTr="006122C0">
        <w:trPr>
          <w:trHeight w:val="315"/>
          <w:jc w:val="center"/>
        </w:trPr>
        <w:tc>
          <w:tcPr>
            <w:tcW w:w="5260" w:type="dxa"/>
            <w:vAlign w:val="center"/>
          </w:tcPr>
          <w:p w:rsidR="00D67F5D" w:rsidRDefault="00D67F5D" w:rsidP="00A301C2">
            <w:pPr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六、单独考试委培硕士研究生</w:t>
            </w:r>
          </w:p>
        </w:tc>
        <w:tc>
          <w:tcPr>
            <w:tcW w:w="2870" w:type="dxa"/>
            <w:vAlign w:val="bottom"/>
          </w:tcPr>
          <w:p w:rsidR="00D67F5D" w:rsidRDefault="00D67F5D" w:rsidP="00A301C2">
            <w:pPr>
              <w:rPr>
                <w:rFonts w:hint="eastAsia"/>
              </w:rPr>
            </w:pPr>
            <w:r>
              <w:rPr>
                <w:rFonts w:hint="eastAsia"/>
              </w:rPr>
              <w:t>14000</w:t>
            </w:r>
          </w:p>
        </w:tc>
      </w:tr>
      <w:tr w:rsidR="00D67F5D" w:rsidTr="006122C0">
        <w:trPr>
          <w:trHeight w:val="330"/>
          <w:jc w:val="center"/>
        </w:trPr>
        <w:tc>
          <w:tcPr>
            <w:tcW w:w="5260" w:type="dxa"/>
            <w:vAlign w:val="bottom"/>
          </w:tcPr>
          <w:p w:rsidR="00D67F5D" w:rsidRDefault="00616DF2" w:rsidP="00616DF2">
            <w:pPr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七</w:t>
            </w:r>
            <w:r w:rsidR="00D67F5D">
              <w:rPr>
                <w:rFonts w:ascii="黑体" w:eastAsia="黑体" w:hint="eastAsia"/>
                <w:sz w:val="22"/>
              </w:rPr>
              <w:t>、高级工商管理硕士（EMBA）</w:t>
            </w:r>
          </w:p>
        </w:tc>
        <w:tc>
          <w:tcPr>
            <w:tcW w:w="2870" w:type="dxa"/>
            <w:vAlign w:val="center"/>
          </w:tcPr>
          <w:p w:rsidR="00D67F5D" w:rsidRPr="00357A4E" w:rsidRDefault="002C029A">
            <w:pPr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3</w:t>
            </w:r>
            <w:r w:rsidR="00D67F5D">
              <w:rPr>
                <w:rFonts w:ascii="黑体" w:eastAsia="黑体" w:hint="eastAsia"/>
                <w:sz w:val="22"/>
              </w:rPr>
              <w:t>年共26万</w:t>
            </w:r>
          </w:p>
        </w:tc>
      </w:tr>
    </w:tbl>
    <w:p w:rsidR="00EB3EC3" w:rsidRDefault="00EB3EC3">
      <w:pPr>
        <w:spacing w:line="360" w:lineRule="exact"/>
        <w:ind w:right="315" w:firstLineChars="2650" w:firstLine="5565"/>
        <w:jc w:val="right"/>
        <w:rPr>
          <w:rFonts w:ascii="宋体" w:hAnsi="宋体" w:hint="eastAsia"/>
          <w:szCs w:val="21"/>
        </w:rPr>
      </w:pPr>
    </w:p>
    <w:p w:rsidR="00EB3EC3" w:rsidRDefault="00EB3EC3">
      <w:pPr>
        <w:spacing w:line="360" w:lineRule="exact"/>
        <w:ind w:right="315" w:firstLineChars="2650" w:firstLine="5565"/>
        <w:jc w:val="right"/>
        <w:rPr>
          <w:rFonts w:ascii="宋体" w:hAnsi="宋体" w:hint="eastAsia"/>
          <w:szCs w:val="21"/>
        </w:rPr>
      </w:pPr>
    </w:p>
    <w:p w:rsidR="00EB3EC3" w:rsidRDefault="00EB3EC3">
      <w:pPr>
        <w:spacing w:line="360" w:lineRule="exact"/>
        <w:ind w:right="315" w:firstLineChars="2650" w:firstLine="5565"/>
        <w:jc w:val="right"/>
        <w:rPr>
          <w:rFonts w:ascii="宋体" w:hAnsi="宋体" w:hint="eastAsia"/>
          <w:szCs w:val="21"/>
        </w:rPr>
      </w:pPr>
    </w:p>
    <w:p w:rsidR="00EB3EC3" w:rsidRDefault="00EB3EC3">
      <w:pPr>
        <w:spacing w:line="360" w:lineRule="exact"/>
        <w:ind w:right="315" w:firstLineChars="2650" w:firstLine="5565"/>
        <w:jc w:val="right"/>
        <w:rPr>
          <w:rFonts w:ascii="宋体" w:hAnsi="宋体" w:hint="eastAsia"/>
          <w:szCs w:val="21"/>
        </w:rPr>
      </w:pPr>
    </w:p>
    <w:p w:rsidR="00EB3EC3" w:rsidRDefault="00EB3EC3">
      <w:pPr>
        <w:spacing w:line="360" w:lineRule="exact"/>
        <w:ind w:right="315"/>
        <w:jc w:val="left"/>
        <w:rPr>
          <w:rFonts w:ascii="宋体" w:hAnsi="宋体" w:hint="eastAsia"/>
          <w:szCs w:val="21"/>
        </w:rPr>
      </w:pPr>
    </w:p>
    <w:sectPr w:rsidR="00EB3EC3">
      <w:footerReference w:type="even" r:id="rId6"/>
      <w:footerReference w:type="default" r:id="rId7"/>
      <w:pgSz w:w="11906" w:h="16838"/>
      <w:pgMar w:top="720" w:right="720" w:bottom="720" w:left="720" w:header="851" w:footer="28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DF6" w:rsidRDefault="00935DF6">
      <w:r>
        <w:separator/>
      </w:r>
    </w:p>
  </w:endnote>
  <w:endnote w:type="continuationSeparator" w:id="0">
    <w:p w:rsidR="00935DF6" w:rsidRDefault="00935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EC3" w:rsidRDefault="00EB3EC3">
    <w:pPr>
      <w:pStyle w:val="ab"/>
      <w:framePr w:h="0"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fldChar w:fldCharType="end"/>
    </w:r>
  </w:p>
  <w:p w:rsidR="00EB3EC3" w:rsidRDefault="00EB3EC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EC3" w:rsidRDefault="00EB3EC3">
    <w:pPr>
      <w:pStyle w:val="ab"/>
      <w:framePr w:h="0"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333BC7">
      <w:rPr>
        <w:rStyle w:val="a8"/>
        <w:noProof/>
      </w:rPr>
      <w:t>1</w:t>
    </w:r>
    <w:r>
      <w:fldChar w:fldCharType="end"/>
    </w:r>
  </w:p>
  <w:p w:rsidR="00EB3EC3" w:rsidRDefault="00EB3EC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DF6" w:rsidRDefault="00935DF6">
      <w:r>
        <w:separator/>
      </w:r>
    </w:p>
  </w:footnote>
  <w:footnote w:type="continuationSeparator" w:id="0">
    <w:p w:rsidR="00935DF6" w:rsidRDefault="00935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C7C3D"/>
    <w:rsid w:val="000E43E5"/>
    <w:rsid w:val="000F2C3F"/>
    <w:rsid w:val="001138D3"/>
    <w:rsid w:val="00144139"/>
    <w:rsid w:val="00175D6D"/>
    <w:rsid w:val="001816EB"/>
    <w:rsid w:val="00187C1A"/>
    <w:rsid w:val="001D08EF"/>
    <w:rsid w:val="001F7D7A"/>
    <w:rsid w:val="00215FE9"/>
    <w:rsid w:val="00217E06"/>
    <w:rsid w:val="002517DA"/>
    <w:rsid w:val="00271FDD"/>
    <w:rsid w:val="002913F6"/>
    <w:rsid w:val="002933F2"/>
    <w:rsid w:val="00294ED2"/>
    <w:rsid w:val="002A38BF"/>
    <w:rsid w:val="002A45B0"/>
    <w:rsid w:val="002A47E2"/>
    <w:rsid w:val="002B5CE5"/>
    <w:rsid w:val="002B6DE0"/>
    <w:rsid w:val="002C029A"/>
    <w:rsid w:val="002E3B2B"/>
    <w:rsid w:val="00333BC7"/>
    <w:rsid w:val="00357A4E"/>
    <w:rsid w:val="003644CA"/>
    <w:rsid w:val="00384F91"/>
    <w:rsid w:val="00394C6F"/>
    <w:rsid w:val="003C62CD"/>
    <w:rsid w:val="004210E7"/>
    <w:rsid w:val="00453995"/>
    <w:rsid w:val="004723CA"/>
    <w:rsid w:val="004A2CB2"/>
    <w:rsid w:val="004A5C84"/>
    <w:rsid w:val="004A6BCD"/>
    <w:rsid w:val="004D4A46"/>
    <w:rsid w:val="00510E23"/>
    <w:rsid w:val="00512259"/>
    <w:rsid w:val="00517E40"/>
    <w:rsid w:val="005239A9"/>
    <w:rsid w:val="005B4BE8"/>
    <w:rsid w:val="005C5028"/>
    <w:rsid w:val="005F0230"/>
    <w:rsid w:val="006122C0"/>
    <w:rsid w:val="00616DF2"/>
    <w:rsid w:val="00634CBA"/>
    <w:rsid w:val="006458EA"/>
    <w:rsid w:val="0067080D"/>
    <w:rsid w:val="00680BEC"/>
    <w:rsid w:val="006D3B7D"/>
    <w:rsid w:val="006F08F7"/>
    <w:rsid w:val="00716AB2"/>
    <w:rsid w:val="00717069"/>
    <w:rsid w:val="00717A9C"/>
    <w:rsid w:val="00722A29"/>
    <w:rsid w:val="00733712"/>
    <w:rsid w:val="007C4093"/>
    <w:rsid w:val="007D0A65"/>
    <w:rsid w:val="007D599D"/>
    <w:rsid w:val="007E4F8C"/>
    <w:rsid w:val="00843550"/>
    <w:rsid w:val="0086464A"/>
    <w:rsid w:val="008C0B79"/>
    <w:rsid w:val="008F388E"/>
    <w:rsid w:val="00900E8D"/>
    <w:rsid w:val="009336F2"/>
    <w:rsid w:val="00935DF6"/>
    <w:rsid w:val="00951774"/>
    <w:rsid w:val="009D6AE0"/>
    <w:rsid w:val="009E3938"/>
    <w:rsid w:val="00A301C2"/>
    <w:rsid w:val="00A3721C"/>
    <w:rsid w:val="00A50CC5"/>
    <w:rsid w:val="00A512CE"/>
    <w:rsid w:val="00A6644E"/>
    <w:rsid w:val="00AA059A"/>
    <w:rsid w:val="00AB1332"/>
    <w:rsid w:val="00B518F7"/>
    <w:rsid w:val="00B67158"/>
    <w:rsid w:val="00BF141A"/>
    <w:rsid w:val="00CD3E8A"/>
    <w:rsid w:val="00D1521E"/>
    <w:rsid w:val="00D2355E"/>
    <w:rsid w:val="00D504E6"/>
    <w:rsid w:val="00D63270"/>
    <w:rsid w:val="00D67F5D"/>
    <w:rsid w:val="00D84AE7"/>
    <w:rsid w:val="00D96627"/>
    <w:rsid w:val="00DA2EF9"/>
    <w:rsid w:val="00E01A53"/>
    <w:rsid w:val="00E30EE1"/>
    <w:rsid w:val="00E95B23"/>
    <w:rsid w:val="00EB3EC3"/>
    <w:rsid w:val="00EB6D01"/>
    <w:rsid w:val="00F2139F"/>
    <w:rsid w:val="00F43B90"/>
    <w:rsid w:val="00FB088F"/>
    <w:rsid w:val="00FC51FA"/>
    <w:rsid w:val="00FC6D6A"/>
    <w:rsid w:val="00FF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link w:val="a3"/>
    <w:rPr>
      <w:rFonts w:ascii="宋体"/>
      <w:kern w:val="2"/>
      <w:sz w:val="18"/>
      <w:szCs w:val="18"/>
    </w:rPr>
  </w:style>
  <w:style w:type="character" w:styleId="a4">
    <w:name w:val="Strong"/>
    <w:qFormat/>
    <w:rPr>
      <w:b/>
      <w:bCs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1">
    <w:name w:val="正文文本缩进 Char"/>
    <w:link w:val="a6"/>
    <w:rPr>
      <w:rFonts w:eastAsia="宋体"/>
      <w:kern w:val="2"/>
      <w:sz w:val="21"/>
      <w:szCs w:val="24"/>
      <w:lang w:val="en-US" w:eastAsia="zh-CN" w:bidi="ar-SA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character" w:styleId="a9">
    <w:name w:val="FollowedHyperlink"/>
    <w:rPr>
      <w:color w:val="800080"/>
      <w:u w:val="single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3">
    <w:name w:val="Body Text Indent 3"/>
    <w:basedOn w:val="a"/>
    <w:pPr>
      <w:spacing w:line="440" w:lineRule="exact"/>
      <w:ind w:firstLineChars="200" w:firstLine="472"/>
    </w:pPr>
    <w:rPr>
      <w:rFonts w:ascii="仿宋_GB2312" w:eastAsia="仿宋_GB2312"/>
      <w:spacing w:val="-2"/>
      <w:sz w:val="24"/>
    </w:rPr>
  </w:style>
  <w:style w:type="paragraph" w:styleId="aa">
    <w:name w:val="Date"/>
    <w:basedOn w:val="a"/>
    <w:next w:val="a"/>
    <w:pPr>
      <w:ind w:leftChars="2500" w:left="100"/>
    </w:pPr>
    <w:rPr>
      <w:sz w:val="24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link w:val="Char1"/>
    <w:pPr>
      <w:ind w:firstLineChars="300" w:firstLine="630"/>
    </w:pPr>
  </w:style>
  <w:style w:type="paragraph" w:styleId="ac">
    <w:name w:val="Balloon Text"/>
    <w:basedOn w:val="a"/>
    <w:semiHidden/>
    <w:rPr>
      <w:sz w:val="18"/>
      <w:szCs w:val="18"/>
    </w:rPr>
  </w:style>
  <w:style w:type="paragraph" w:styleId="2">
    <w:name w:val="Body Text Indent 2"/>
    <w:basedOn w:val="a"/>
    <w:pPr>
      <w:spacing w:line="380" w:lineRule="exact"/>
      <w:ind w:firstLineChars="200" w:firstLine="480"/>
      <w:jc w:val="left"/>
    </w:pPr>
    <w:rPr>
      <w:rFonts w:ascii="仿宋_GB2312" w:eastAsia="仿宋_GB2312" w:hAnsi="宋体"/>
      <w:sz w:val="24"/>
    </w:rPr>
  </w:style>
  <w:style w:type="paragraph" w:styleId="a3">
    <w:name w:val="Document Map"/>
    <w:basedOn w:val="a"/>
    <w:link w:val="Char"/>
    <w:rPr>
      <w:rFonts w:ascii="宋体"/>
      <w:sz w:val="18"/>
      <w:szCs w:val="18"/>
      <w:lang/>
    </w:rPr>
  </w:style>
  <w:style w:type="paragraph" w:customStyle="1" w:styleId="1">
    <w:name w:val="样式1"/>
    <w:basedOn w:val="a"/>
    <w:rPr>
      <w:rFonts w:ascii="宋体"/>
      <w:color w:val="000000"/>
      <w:sz w:val="24"/>
      <w:szCs w:val="18"/>
    </w:rPr>
  </w:style>
  <w:style w:type="paragraph" w:styleId="ad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315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Legend (Beijing) Limited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2017-06-07T03:20:00Z</dcterms:created>
  <dc:creator>Legend User</dc:creator>
  <lastModifiedBy>dreamsummit</lastModifiedBy>
  <lastPrinted>2017-06-07T03:20:00Z</lastPrinted>
  <dcterms:modified xsi:type="dcterms:W3CDTF">2017-06-07T03:20:00Z</dcterms:modified>
  <revision>3</revision>
  <dc:title>中南大学研究生入学报到须知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2052-9.1.0.4640</vt:lpwstr>
  </property>
</Properties>
</file>