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40" w:lineRule="exact"/>
        <w:jc w:val="center"/>
        <w:outlineLvl w:val="0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="120" w:beforeLines="50" w:line="640" w:lineRule="exact"/>
        <w:jc w:val="center"/>
        <w:outlineLvl w:val="0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人文社会科学高水平专项奖清单</w:t>
      </w:r>
    </w:p>
    <w:bookmarkEnd w:id="0"/>
    <w:p>
      <w:pPr>
        <w:spacing w:line="400" w:lineRule="exact"/>
        <w:ind w:firstLine="880" w:firstLineChars="200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880" w:firstLineChars="200"/>
        <w:jc w:val="center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一、创作作品类奖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全国美术作品展览、全国书法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篆刻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展览、中国书法兰亭奖、中国美术金彩奖、美术/书法作品被国家美术馆、国家博物馆收藏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中国音乐金钟奖、中国舞蹈荷花奖、中国文化艺术政府奖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茅盾文学奖、鲁迅文学奖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、邹韬奋新闻奖</w:t>
      </w:r>
    </w:p>
    <w:p>
      <w:pPr>
        <w:spacing w:line="54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二、社会科学类专项奖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 吴玉章人文社会科学奖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 钱端升法学研究成果奖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孙冶方经济学科奖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 安子介国际贸易研究奖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 CTTI-BPA智库最佳研究报告奖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王力语言学奖</w:t>
      </w:r>
    </w:p>
    <w:p>
      <w:pPr>
        <w:spacing w:line="54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金岳霖学术奖</w:t>
      </w:r>
    </w:p>
    <w:p>
      <w:pPr>
        <w:ind w:firstLine="640" w:firstLineChars="200"/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郭沫若中国历史学奖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D"/>
    <w:rsid w:val="00B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2020-09-08T07:03:00Z</dcterms:created>
  <dc:creator>黄志平</dc:creator>
  <lastModifiedBy>黄志平</lastModifiedBy>
  <dcterms:modified xsi:type="dcterms:W3CDTF">2020-09-08T07:07:59Z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